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67233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9C07C0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9C07C0">
              <w:rPr>
                <w:b/>
                <w:bCs/>
                <w:sz w:val="20"/>
                <w:szCs w:val="20"/>
              </w:rPr>
              <w:t>9893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9C07C0" w:rsidRPr="009C07C0">
              <w:rPr>
                <w:b/>
                <w:bCs/>
                <w:sz w:val="20"/>
                <w:szCs w:val="20"/>
              </w:rPr>
              <w:t>Поставка гофрированной трубы и комплектующие к ней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9C07C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9C07C0">
              <w:rPr>
                <w:sz w:val="20"/>
                <w:szCs w:val="20"/>
              </w:rPr>
              <w:t>Алексеев Игорь Юрьевич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Телеграм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9C07C0" w:rsidRPr="009C07C0">
              <w:rPr>
                <w:b/>
                <w:bCs/>
                <w:sz w:val="20"/>
                <w:szCs w:val="20"/>
              </w:rPr>
              <w:t>99 369,00</w:t>
            </w:r>
            <w:r w:rsidR="009C07C0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2891"/>
        <w:gridCol w:w="3683"/>
        <w:gridCol w:w="1603"/>
        <w:gridCol w:w="432"/>
        <w:gridCol w:w="404"/>
        <w:gridCol w:w="849"/>
      </w:tblGrid>
      <w:tr w:rsidR="009C07C0" w:rsidTr="009C07C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Ед.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Цена за 1 ед., руб., с НДС</w:t>
            </w:r>
          </w:p>
        </w:tc>
      </w:tr>
      <w:tr w:rsidR="009C07C0" w:rsidTr="009C07C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двухстенная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гофрированная Д190/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160 ,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канализационная с раструбом Д190/160 длина 6м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Труба гофрированная двустенная с раструбом SN 8 190 / 160 мм для создания канализационных систем и водопропускных сооружений.</w:t>
            </w:r>
            <w:r>
              <w:rPr>
                <w:rFonts w:ascii="Arial" w:hAnsi="Arial" w:cs="Arial"/>
                <w:sz w:val="16"/>
                <w:szCs w:val="16"/>
              </w:rPr>
              <w:br/>
              <w:t>тип: труба гофрированная двухслойная с раструбом</w:t>
            </w:r>
            <w:r>
              <w:rPr>
                <w:rFonts w:ascii="Arial" w:hAnsi="Arial" w:cs="Arial"/>
                <w:sz w:val="16"/>
                <w:szCs w:val="16"/>
              </w:rPr>
              <w:br/>
              <w:t>класс жесткости: SN 8-9</w:t>
            </w:r>
            <w:r>
              <w:rPr>
                <w:rFonts w:ascii="Arial" w:hAnsi="Arial" w:cs="Arial"/>
                <w:sz w:val="16"/>
                <w:szCs w:val="16"/>
              </w:rPr>
              <w:br/>
              <w:t>диаметр наружный: 190 мм</w:t>
            </w:r>
            <w:r>
              <w:rPr>
                <w:rFonts w:ascii="Arial" w:hAnsi="Arial" w:cs="Arial"/>
                <w:sz w:val="16"/>
                <w:szCs w:val="16"/>
              </w:rPr>
              <w:br/>
              <w:t>диаметр внутренний: 160 мм</w:t>
            </w:r>
            <w:r>
              <w:rPr>
                <w:rFonts w:ascii="Arial" w:hAnsi="Arial" w:cs="Arial"/>
                <w:sz w:val="16"/>
                <w:szCs w:val="16"/>
              </w:rPr>
              <w:br/>
              <w:t>внутренний слой гладкий</w:t>
            </w:r>
            <w:r>
              <w:rPr>
                <w:rFonts w:ascii="Arial" w:hAnsi="Arial" w:cs="Arial"/>
                <w:sz w:val="16"/>
                <w:szCs w:val="16"/>
              </w:rPr>
              <w:br/>
              <w:t>длина труб (без учета раструба): 6 м</w:t>
            </w:r>
            <w:r>
              <w:rPr>
                <w:rFonts w:ascii="Arial" w:hAnsi="Arial" w:cs="Arial"/>
                <w:sz w:val="16"/>
                <w:szCs w:val="16"/>
              </w:rPr>
              <w:br/>
              <w:t>материал: ПНД (полиэтилен низкого давления)</w:t>
            </w:r>
            <w:r>
              <w:rPr>
                <w:rFonts w:ascii="Arial" w:hAnsi="Arial" w:cs="Arial"/>
                <w:sz w:val="16"/>
                <w:szCs w:val="16"/>
              </w:rPr>
              <w:br/>
              <w:t>цвет трубы снаружи/внутри: чёрный/белый</w:t>
            </w:r>
            <w:r>
              <w:rPr>
                <w:rFonts w:ascii="Arial" w:hAnsi="Arial" w:cs="Arial"/>
                <w:sz w:val="16"/>
                <w:szCs w:val="16"/>
              </w:rPr>
              <w:br/>
              <w:t>рабочий диапазон температур: -60°…+60°</w:t>
            </w:r>
            <w:r>
              <w:rPr>
                <w:rFonts w:ascii="Arial" w:hAnsi="Arial" w:cs="Arial"/>
                <w:sz w:val="16"/>
                <w:szCs w:val="16"/>
              </w:rPr>
              <w:br/>
              <w:t>глубина заложения: до 9 м</w:t>
            </w:r>
            <w:r>
              <w:rPr>
                <w:rFonts w:ascii="Arial" w:hAnsi="Arial" w:cs="Arial"/>
                <w:sz w:val="16"/>
                <w:szCs w:val="16"/>
              </w:rPr>
              <w:br/>
              <w:t>применение: для наружных работ</w:t>
            </w:r>
            <w:r>
              <w:rPr>
                <w:rFonts w:ascii="Arial" w:hAnsi="Arial" w:cs="Arial"/>
                <w:sz w:val="16"/>
                <w:szCs w:val="16"/>
              </w:rPr>
              <w:br/>
              <w:t>срок службы: не менее 50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6 771</w:t>
            </w:r>
          </w:p>
        </w:tc>
      </w:tr>
      <w:tr w:rsidR="009C07C0" w:rsidTr="009C07C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Кольцо уплотнительное Д190/160, для трубы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двухстенной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гофрированной Д190/160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тип: кольцо уплотнительное Д-ДГТ</w:t>
            </w:r>
            <w:r>
              <w:rPr>
                <w:rFonts w:ascii="Arial" w:hAnsi="Arial" w:cs="Arial"/>
                <w:sz w:val="16"/>
                <w:szCs w:val="16"/>
              </w:rPr>
              <w:br/>
              <w:t>диаметр наружный: 160 мм</w:t>
            </w:r>
            <w:r>
              <w:rPr>
                <w:rFonts w:ascii="Arial" w:hAnsi="Arial" w:cs="Arial"/>
                <w:sz w:val="16"/>
                <w:szCs w:val="16"/>
              </w:rPr>
              <w:br/>
              <w:t>диаметр внутренний: 160 мм</w:t>
            </w:r>
            <w:r>
              <w:rPr>
                <w:rFonts w:ascii="Arial" w:hAnsi="Arial" w:cs="Arial"/>
                <w:sz w:val="16"/>
                <w:szCs w:val="16"/>
              </w:rPr>
              <w:br/>
              <w:t>назначение: герметизация соединения гофрированных труб с раструбом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Материал ПНД (полиэтилен низкого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давления)</w:t>
            </w:r>
            <w:r>
              <w:rPr>
                <w:rFonts w:ascii="Arial" w:hAnsi="Arial" w:cs="Arial"/>
                <w:sz w:val="16"/>
                <w:szCs w:val="16"/>
              </w:rPr>
              <w:br/>
              <w:t>Срок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службы не менее 50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488</w:t>
            </w:r>
          </w:p>
        </w:tc>
      </w:tr>
      <w:tr w:rsidR="009C07C0" w:rsidTr="009C07C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Муфта соединительная Д190/160, герметичная для трубы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двухстенной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гофрированной Д190/160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Муфта соединительная для гофрированной трубы 190/160 мм для герметичного соединения отрезков гофрированных труб.</w:t>
            </w:r>
            <w:r>
              <w:rPr>
                <w:rFonts w:ascii="Arial" w:hAnsi="Arial" w:cs="Arial"/>
                <w:sz w:val="16"/>
                <w:szCs w:val="16"/>
              </w:rPr>
              <w:br/>
              <w:t>диаметр: 190 мм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Материал ПНД (полиэтилен низкого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давления)</w:t>
            </w:r>
            <w:r>
              <w:rPr>
                <w:rFonts w:ascii="Arial" w:hAnsi="Arial" w:cs="Arial"/>
                <w:sz w:val="16"/>
                <w:szCs w:val="16"/>
              </w:rPr>
              <w:br/>
              <w:t>Срок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службы не менее 50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07C0" w:rsidRDefault="009C0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1 342</w:t>
            </w:r>
          </w:p>
        </w:tc>
      </w:tr>
      <w:bookmarkEnd w:id="0"/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07C0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07C0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Алексеев Игорь Юрьевич</cp:lastModifiedBy>
  <cp:revision>13</cp:revision>
  <cp:lastPrinted>2018-07-11T11:54:00Z</cp:lastPrinted>
  <dcterms:created xsi:type="dcterms:W3CDTF">2023-03-16T08:33:00Z</dcterms:created>
  <dcterms:modified xsi:type="dcterms:W3CDTF">2026-03-05T03:06:00Z</dcterms:modified>
</cp:coreProperties>
</file>